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6B91D" w14:textId="77777777" w:rsidR="00115293" w:rsidRDefault="00115293" w:rsidP="00115293">
      <w:pPr>
        <w:pStyle w:val="En-tte"/>
        <w:tabs>
          <w:tab w:val="clear" w:pos="9072"/>
          <w:tab w:val="right" w:pos="9066"/>
        </w:tabs>
      </w:pPr>
      <w:bookmarkStart w:id="0" w:name="_Hlk92791157"/>
      <w:r>
        <w:rPr>
          <w:noProof/>
        </w:rPr>
        <w:drawing>
          <wp:inline distT="0" distB="0" distL="0" distR="0" wp14:anchorId="555E5E5A" wp14:editId="20567D36">
            <wp:extent cx="1182882" cy="1047750"/>
            <wp:effectExtent l="0" t="0" r="0" b="0"/>
            <wp:docPr id="3" name="Image 3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10E4447" wp14:editId="0B5E3276">
            <wp:extent cx="1189990" cy="126658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7C2841A" wp14:editId="3C52ABDE">
            <wp:extent cx="1239024" cy="12573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9835FF" wp14:editId="4C5C4304">
            <wp:extent cx="1295400" cy="12954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A83BFF5" wp14:editId="7B67C2C3">
            <wp:extent cx="814739" cy="895350"/>
            <wp:effectExtent l="0" t="0" r="444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0786BCB" w14:textId="77777777" w:rsidR="00115293" w:rsidRDefault="00115293" w:rsidP="00115293"/>
    <w:p w14:paraId="36CC37EB" w14:textId="4BDFA73F" w:rsidR="00115293" w:rsidRDefault="00115293" w:rsidP="00115293">
      <w:pPr>
        <w:jc w:val="both"/>
        <w:rPr>
          <w:rFonts w:ascii="Times New Roman" w:hAnsi="Times New Roman" w:cs="Times New Roman"/>
        </w:rPr>
      </w:pPr>
    </w:p>
    <w:p w14:paraId="5E1FED7B" w14:textId="77777777" w:rsidR="00115293" w:rsidRPr="00313B08" w:rsidRDefault="00115293" w:rsidP="00115293">
      <w:pPr>
        <w:jc w:val="both"/>
        <w:rPr>
          <w:rFonts w:ascii="Times New Roman" w:hAnsi="Times New Roman" w:cs="Times New Roman"/>
        </w:rPr>
      </w:pPr>
    </w:p>
    <w:p w14:paraId="5389FECC" w14:textId="77777777" w:rsidR="00115293" w:rsidRPr="00313B08" w:rsidRDefault="00115293" w:rsidP="0011529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13B08">
        <w:rPr>
          <w:rFonts w:ascii="Times New Roman" w:hAnsi="Times New Roman" w:cs="Times New Roman"/>
          <w:b/>
          <w:sz w:val="44"/>
          <w:szCs w:val="28"/>
        </w:rPr>
        <w:t>ERC Advanced Grant AGRELITA Project</w:t>
      </w:r>
    </w:p>
    <w:p w14:paraId="7000BC70" w14:textId="09E68079" w:rsidR="00115293" w:rsidRDefault="00115293" w:rsidP="0011529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313B08">
        <w:rPr>
          <w:rFonts w:ascii="Times New Roman" w:hAnsi="Times New Roman" w:cs="Times New Roman"/>
          <w:b/>
        </w:rPr>
        <w:t xml:space="preserve">The </w:t>
      </w:r>
      <w:proofErr w:type="spellStart"/>
      <w:r w:rsidRPr="00313B08">
        <w:rPr>
          <w:rFonts w:ascii="Times New Roman" w:hAnsi="Times New Roman" w:cs="Times New Roman"/>
          <w:b/>
        </w:rPr>
        <w:t>Reception</w:t>
      </w:r>
      <w:proofErr w:type="spellEnd"/>
      <w:r w:rsidRPr="00313B08">
        <w:rPr>
          <w:rFonts w:ascii="Times New Roman" w:hAnsi="Times New Roman" w:cs="Times New Roman"/>
          <w:b/>
        </w:rPr>
        <w:t xml:space="preserve"> of Ancient </w:t>
      </w:r>
      <w:proofErr w:type="spellStart"/>
      <w:r w:rsidRPr="00313B08">
        <w:rPr>
          <w:rFonts w:ascii="Times New Roman" w:hAnsi="Times New Roman" w:cs="Times New Roman"/>
          <w:b/>
        </w:rPr>
        <w:t>Greece</w:t>
      </w:r>
      <w:proofErr w:type="spellEnd"/>
      <w:r w:rsidRPr="00313B08">
        <w:rPr>
          <w:rFonts w:ascii="Times New Roman" w:hAnsi="Times New Roman" w:cs="Times New Roman"/>
          <w:b/>
        </w:rPr>
        <w:t xml:space="preserve"> in </w:t>
      </w:r>
      <w:proofErr w:type="spellStart"/>
      <w:r w:rsidRPr="00313B08">
        <w:rPr>
          <w:rFonts w:ascii="Times New Roman" w:hAnsi="Times New Roman" w:cs="Times New Roman"/>
          <w:b/>
        </w:rPr>
        <w:t>pre</w:t>
      </w:r>
      <w:proofErr w:type="spellEnd"/>
      <w:r w:rsidRPr="00313B08">
        <w:rPr>
          <w:rFonts w:ascii="Times New Roman" w:hAnsi="Times New Roman" w:cs="Times New Roman"/>
          <w:b/>
        </w:rPr>
        <w:t xml:space="preserve">-modern French </w:t>
      </w:r>
      <w:proofErr w:type="spellStart"/>
      <w:r w:rsidRPr="00313B08">
        <w:rPr>
          <w:rFonts w:ascii="Times New Roman" w:hAnsi="Times New Roman" w:cs="Times New Roman"/>
          <w:b/>
        </w:rPr>
        <w:t>Literature</w:t>
      </w:r>
      <w:proofErr w:type="spellEnd"/>
      <w:r w:rsidRPr="00313B08">
        <w:rPr>
          <w:rFonts w:ascii="Times New Roman" w:hAnsi="Times New Roman" w:cs="Times New Roman"/>
          <w:b/>
        </w:rPr>
        <w:t xml:space="preserve"> and Illustrations of </w:t>
      </w:r>
      <w:proofErr w:type="spellStart"/>
      <w:r w:rsidRPr="00313B08">
        <w:rPr>
          <w:rFonts w:ascii="Times New Roman" w:hAnsi="Times New Roman" w:cs="Times New Roman"/>
          <w:b/>
        </w:rPr>
        <w:t>Manuscripts</w:t>
      </w:r>
      <w:proofErr w:type="spellEnd"/>
      <w:r w:rsidRPr="00313B08">
        <w:rPr>
          <w:rFonts w:ascii="Times New Roman" w:hAnsi="Times New Roman" w:cs="Times New Roman"/>
          <w:b/>
        </w:rPr>
        <w:t xml:space="preserve"> and </w:t>
      </w:r>
      <w:proofErr w:type="spellStart"/>
      <w:r w:rsidRPr="00313B08">
        <w:rPr>
          <w:rFonts w:ascii="Times New Roman" w:hAnsi="Times New Roman" w:cs="Times New Roman"/>
          <w:b/>
        </w:rPr>
        <w:t>Printed</w:t>
      </w:r>
      <w:proofErr w:type="spellEnd"/>
      <w:r w:rsidRPr="00313B08">
        <w:rPr>
          <w:rFonts w:ascii="Times New Roman" w:hAnsi="Times New Roman" w:cs="Times New Roman"/>
          <w:b/>
        </w:rPr>
        <w:t xml:space="preserve"> Books (1320-1550)</w:t>
      </w:r>
      <w:r>
        <w:rPr>
          <w:rFonts w:ascii="Times New Roman" w:hAnsi="Times New Roman" w:cs="Times New Roman"/>
          <w:b/>
        </w:rPr>
        <w:t xml:space="preserve"> </w:t>
      </w:r>
      <w:r w:rsidRPr="00313B08">
        <w:rPr>
          <w:rFonts w:ascii="Times New Roman" w:hAnsi="Times New Roman" w:cs="Times New Roman"/>
          <w:b/>
        </w:rPr>
        <w:t xml:space="preserve">: How </w:t>
      </w:r>
      <w:proofErr w:type="spellStart"/>
      <w:r w:rsidRPr="00313B08">
        <w:rPr>
          <w:rFonts w:ascii="Times New Roman" w:hAnsi="Times New Roman" w:cs="Times New Roman"/>
          <w:b/>
        </w:rPr>
        <w:t>invented</w:t>
      </w:r>
      <w:proofErr w:type="spellEnd"/>
      <w:r w:rsidRPr="00313B08">
        <w:rPr>
          <w:rFonts w:ascii="Times New Roman" w:hAnsi="Times New Roman" w:cs="Times New Roman"/>
          <w:b/>
        </w:rPr>
        <w:t xml:space="preserve"> </w:t>
      </w:r>
      <w:proofErr w:type="spellStart"/>
      <w:r w:rsidRPr="00313B08">
        <w:rPr>
          <w:rFonts w:ascii="Times New Roman" w:hAnsi="Times New Roman" w:cs="Times New Roman"/>
          <w:b/>
        </w:rPr>
        <w:t>memories</w:t>
      </w:r>
      <w:proofErr w:type="spellEnd"/>
      <w:r w:rsidRPr="00313B08">
        <w:rPr>
          <w:rFonts w:ascii="Times New Roman" w:hAnsi="Times New Roman" w:cs="Times New Roman"/>
          <w:b/>
        </w:rPr>
        <w:t xml:space="preserve"> </w:t>
      </w:r>
      <w:proofErr w:type="spellStart"/>
      <w:r w:rsidRPr="00313B08">
        <w:rPr>
          <w:rFonts w:ascii="Times New Roman" w:hAnsi="Times New Roman" w:cs="Times New Roman"/>
          <w:b/>
        </w:rPr>
        <w:t>shaped</w:t>
      </w:r>
      <w:proofErr w:type="spellEnd"/>
      <w:r w:rsidRPr="00313B08">
        <w:rPr>
          <w:rFonts w:ascii="Times New Roman" w:hAnsi="Times New Roman" w:cs="Times New Roman"/>
          <w:b/>
        </w:rPr>
        <w:t xml:space="preserve"> the </w:t>
      </w:r>
      <w:proofErr w:type="spellStart"/>
      <w:r w:rsidRPr="00313B08">
        <w:rPr>
          <w:rFonts w:ascii="Times New Roman" w:hAnsi="Times New Roman" w:cs="Times New Roman"/>
          <w:b/>
        </w:rPr>
        <w:t>identity</w:t>
      </w:r>
      <w:proofErr w:type="spellEnd"/>
      <w:r w:rsidRPr="00313B08">
        <w:rPr>
          <w:rFonts w:ascii="Times New Roman" w:hAnsi="Times New Roman" w:cs="Times New Roman"/>
          <w:b/>
        </w:rPr>
        <w:t xml:space="preserve"> of </w:t>
      </w:r>
      <w:proofErr w:type="spellStart"/>
      <w:r w:rsidRPr="00313B08">
        <w:rPr>
          <w:rFonts w:ascii="Times New Roman" w:hAnsi="Times New Roman" w:cs="Times New Roman"/>
          <w:b/>
        </w:rPr>
        <w:t>European</w:t>
      </w:r>
      <w:proofErr w:type="spellEnd"/>
      <w:r w:rsidRPr="00313B08">
        <w:rPr>
          <w:rFonts w:ascii="Times New Roman" w:hAnsi="Times New Roman" w:cs="Times New Roman"/>
          <w:b/>
        </w:rPr>
        <w:t xml:space="preserve"> </w:t>
      </w:r>
      <w:proofErr w:type="spellStart"/>
      <w:r w:rsidRPr="00313B08">
        <w:rPr>
          <w:rFonts w:ascii="Times New Roman" w:hAnsi="Times New Roman" w:cs="Times New Roman"/>
          <w:b/>
        </w:rPr>
        <w:t>communities</w:t>
      </w:r>
      <w:proofErr w:type="spellEnd"/>
    </w:p>
    <w:p w14:paraId="6ADB4DF0" w14:textId="77777777" w:rsidR="00115293" w:rsidRPr="00115293" w:rsidRDefault="00115293" w:rsidP="0011529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10"/>
        </w:rPr>
      </w:pPr>
    </w:p>
    <w:p w14:paraId="6749F6D7" w14:textId="77777777" w:rsidR="00115293" w:rsidRPr="00313B08" w:rsidRDefault="00115293" w:rsidP="00115293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313B08">
        <w:rPr>
          <w:rFonts w:ascii="Times New Roman" w:hAnsi="Times New Roman" w:cs="Times New Roman"/>
        </w:rPr>
        <w:t xml:space="preserve">Direction : Catherine </w:t>
      </w:r>
      <w:proofErr w:type="spellStart"/>
      <w:r w:rsidRPr="00313B08">
        <w:rPr>
          <w:rFonts w:ascii="Times New Roman" w:hAnsi="Times New Roman" w:cs="Times New Roman"/>
        </w:rPr>
        <w:t>Gaullier-Bougassas</w:t>
      </w:r>
      <w:proofErr w:type="spellEnd"/>
    </w:p>
    <w:p w14:paraId="1B8F9483" w14:textId="77777777" w:rsidR="00115293" w:rsidRPr="00313B08" w:rsidRDefault="00115293" w:rsidP="00115293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14:paraId="6E412979" w14:textId="715AC2B4" w:rsidR="00115293" w:rsidRDefault="00115293" w:rsidP="00115293">
      <w:pPr>
        <w:ind w:firstLine="567"/>
        <w:jc w:val="center"/>
        <w:rPr>
          <w:rFonts w:ascii="Times New Roman" w:hAnsi="Times New Roman" w:cs="Times New Roman"/>
        </w:rPr>
      </w:pPr>
      <w:r w:rsidRPr="00313B08">
        <w:rPr>
          <w:rFonts w:ascii="Times New Roman" w:hAnsi="Times New Roman" w:cs="Times New Roman"/>
        </w:rPr>
        <w:t xml:space="preserve">The AGRELITA </w:t>
      </w:r>
      <w:proofErr w:type="spellStart"/>
      <w:r w:rsidRPr="00313B08">
        <w:rPr>
          <w:rFonts w:ascii="Times New Roman" w:hAnsi="Times New Roman" w:cs="Times New Roman"/>
        </w:rPr>
        <w:t>project</w:t>
      </w:r>
      <w:proofErr w:type="spellEnd"/>
      <w:r w:rsidRPr="00313B08">
        <w:rPr>
          <w:rFonts w:ascii="Times New Roman" w:hAnsi="Times New Roman" w:cs="Times New Roman"/>
        </w:rPr>
        <w:t xml:space="preserve"> ERC n° 101018777 </w:t>
      </w:r>
      <w:proofErr w:type="spellStart"/>
      <w:r w:rsidRPr="00313B08">
        <w:rPr>
          <w:rFonts w:ascii="Times New Roman" w:hAnsi="Times New Roman" w:cs="Times New Roman"/>
        </w:rPr>
        <w:t>was</w:t>
      </w:r>
      <w:proofErr w:type="spellEnd"/>
      <w:r w:rsidRPr="00313B08">
        <w:rPr>
          <w:rFonts w:ascii="Times New Roman" w:hAnsi="Times New Roman" w:cs="Times New Roman"/>
        </w:rPr>
        <w:t xml:space="preserve"> </w:t>
      </w:r>
      <w:proofErr w:type="spellStart"/>
      <w:r w:rsidRPr="00313B08">
        <w:rPr>
          <w:rFonts w:ascii="Times New Roman" w:hAnsi="Times New Roman" w:cs="Times New Roman"/>
        </w:rPr>
        <w:t>launched</w:t>
      </w:r>
      <w:proofErr w:type="spellEnd"/>
      <w:r w:rsidRPr="00313B08">
        <w:rPr>
          <w:rFonts w:ascii="Times New Roman" w:hAnsi="Times New Roman" w:cs="Times New Roman"/>
        </w:rPr>
        <w:t xml:space="preserve"> on </w:t>
      </w:r>
      <w:proofErr w:type="spellStart"/>
      <w:r w:rsidRPr="00313B08">
        <w:rPr>
          <w:rFonts w:ascii="Times New Roman" w:hAnsi="Times New Roman" w:cs="Times New Roman"/>
        </w:rPr>
        <w:t>October</w:t>
      </w:r>
      <w:proofErr w:type="spellEnd"/>
      <w:r w:rsidRPr="00313B08">
        <w:rPr>
          <w:rFonts w:ascii="Times New Roman" w:hAnsi="Times New Roman" w:cs="Times New Roman"/>
        </w:rPr>
        <w:t xml:space="preserve"> 1st 2021. It </w:t>
      </w:r>
      <w:proofErr w:type="spellStart"/>
      <w:r w:rsidRPr="00313B08">
        <w:rPr>
          <w:rFonts w:ascii="Times New Roman" w:hAnsi="Times New Roman" w:cs="Times New Roman"/>
        </w:rPr>
        <w:t>is</w:t>
      </w:r>
      <w:proofErr w:type="spellEnd"/>
      <w:r w:rsidRPr="00313B08">
        <w:rPr>
          <w:rFonts w:ascii="Times New Roman" w:hAnsi="Times New Roman" w:cs="Times New Roman"/>
        </w:rPr>
        <w:t xml:space="preserve"> a 5-year </w:t>
      </w:r>
      <w:proofErr w:type="spellStart"/>
      <w:r w:rsidRPr="00313B08">
        <w:rPr>
          <w:rFonts w:ascii="Times New Roman" w:hAnsi="Times New Roman" w:cs="Times New Roman"/>
        </w:rPr>
        <w:t>project</w:t>
      </w:r>
      <w:proofErr w:type="spellEnd"/>
      <w:r w:rsidRPr="00313B08">
        <w:rPr>
          <w:rFonts w:ascii="Times New Roman" w:hAnsi="Times New Roman" w:cs="Times New Roman"/>
        </w:rPr>
        <w:t xml:space="preserve"> (2021-2026) </w:t>
      </w:r>
      <w:proofErr w:type="spellStart"/>
      <w:r w:rsidRPr="00313B08">
        <w:rPr>
          <w:rFonts w:ascii="Times New Roman" w:hAnsi="Times New Roman" w:cs="Times New Roman"/>
        </w:rPr>
        <w:t>financed</w:t>
      </w:r>
      <w:proofErr w:type="spellEnd"/>
      <w:r w:rsidRPr="00313B08">
        <w:rPr>
          <w:rFonts w:ascii="Times New Roman" w:hAnsi="Times New Roman" w:cs="Times New Roman"/>
        </w:rPr>
        <w:t xml:space="preserve"> on an ERC Advanced Grant 2020 </w:t>
      </w:r>
      <w:proofErr w:type="spellStart"/>
      <w:r w:rsidRPr="00313B08">
        <w:rPr>
          <w:rFonts w:ascii="Times New Roman" w:hAnsi="Times New Roman" w:cs="Times New Roman"/>
        </w:rPr>
        <w:t>through</w:t>
      </w:r>
      <w:proofErr w:type="spellEnd"/>
      <w:r w:rsidRPr="00313B08">
        <w:rPr>
          <w:rFonts w:ascii="Times New Roman" w:hAnsi="Times New Roman" w:cs="Times New Roman"/>
        </w:rPr>
        <w:t xml:space="preserve"> the </w:t>
      </w:r>
      <w:proofErr w:type="spellStart"/>
      <w:r w:rsidRPr="00313B08">
        <w:rPr>
          <w:rFonts w:ascii="Times New Roman" w:hAnsi="Times New Roman" w:cs="Times New Roman"/>
        </w:rPr>
        <w:t>European</w:t>
      </w:r>
      <w:proofErr w:type="spellEnd"/>
      <w:r w:rsidRPr="00313B08">
        <w:rPr>
          <w:rFonts w:ascii="Times New Roman" w:hAnsi="Times New Roman" w:cs="Times New Roman"/>
        </w:rPr>
        <w:t xml:space="preserve"> </w:t>
      </w:r>
      <w:proofErr w:type="spellStart"/>
      <w:r w:rsidRPr="00313B08">
        <w:rPr>
          <w:rFonts w:ascii="Times New Roman" w:hAnsi="Times New Roman" w:cs="Times New Roman"/>
        </w:rPr>
        <w:t>Union</w:t>
      </w:r>
      <w:r w:rsidR="004F518F">
        <w:rPr>
          <w:rFonts w:ascii="Times New Roman" w:hAnsi="Times New Roman" w:cs="Times New Roman"/>
        </w:rPr>
        <w:t>’</w:t>
      </w:r>
      <w:r w:rsidRPr="00313B08">
        <w:rPr>
          <w:rFonts w:ascii="Times New Roman" w:hAnsi="Times New Roman" w:cs="Times New Roman"/>
        </w:rPr>
        <w:t>s</w:t>
      </w:r>
      <w:proofErr w:type="spellEnd"/>
      <w:r w:rsidRPr="00313B08">
        <w:rPr>
          <w:rFonts w:ascii="Times New Roman" w:hAnsi="Times New Roman" w:cs="Times New Roman"/>
        </w:rPr>
        <w:t xml:space="preserve"> </w:t>
      </w:r>
      <w:proofErr w:type="spellStart"/>
      <w:r w:rsidRPr="00313B08">
        <w:rPr>
          <w:rFonts w:ascii="Times New Roman" w:hAnsi="Times New Roman" w:cs="Times New Roman"/>
        </w:rPr>
        <w:t>Research</w:t>
      </w:r>
      <w:proofErr w:type="spellEnd"/>
      <w:r w:rsidRPr="00313B08">
        <w:rPr>
          <w:rFonts w:ascii="Times New Roman" w:hAnsi="Times New Roman" w:cs="Times New Roman"/>
        </w:rPr>
        <w:t xml:space="preserve"> and Innovation Programme Horizon 2020.</w:t>
      </w:r>
    </w:p>
    <w:p w14:paraId="524F6B99" w14:textId="77777777" w:rsidR="00115293" w:rsidRPr="00313B08" w:rsidRDefault="00115293" w:rsidP="00115293">
      <w:pPr>
        <w:ind w:firstLine="567"/>
        <w:jc w:val="center"/>
        <w:rPr>
          <w:rFonts w:ascii="Times New Roman" w:hAnsi="Times New Roman" w:cs="Times New Roman"/>
        </w:rPr>
      </w:pPr>
    </w:p>
    <w:p w14:paraId="54E0F686" w14:textId="77777777" w:rsidR="00115293" w:rsidRPr="00313B08" w:rsidRDefault="00115293" w:rsidP="00115293">
      <w:pPr>
        <w:ind w:firstLine="567"/>
        <w:jc w:val="center"/>
        <w:rPr>
          <w:rFonts w:ascii="Times New Roman" w:hAnsi="Times New Roman" w:cs="Times New Roman"/>
        </w:rPr>
      </w:pPr>
    </w:p>
    <w:p w14:paraId="326E38D3" w14:textId="261B8B8D" w:rsidR="00115293" w:rsidRPr="00115293" w:rsidRDefault="00115293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293">
        <w:rPr>
          <w:rFonts w:ascii="Times New Roman" w:hAnsi="Times New Roman" w:cs="Times New Roman"/>
          <w:b/>
          <w:bCs/>
          <w:sz w:val="28"/>
          <w:szCs w:val="28"/>
        </w:rPr>
        <w:t>Journées d</w:t>
      </w:r>
      <w:r w:rsidR="004F518F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15293">
        <w:rPr>
          <w:rFonts w:ascii="Times New Roman" w:hAnsi="Times New Roman" w:cs="Times New Roman"/>
          <w:b/>
          <w:bCs/>
          <w:sz w:val="28"/>
          <w:szCs w:val="28"/>
        </w:rPr>
        <w:t>études</w:t>
      </w:r>
    </w:p>
    <w:p w14:paraId="1C7D5DA0" w14:textId="152B04CB" w:rsidR="00EF1F3E" w:rsidRPr="00115293" w:rsidRDefault="004C5E75">
      <w:pPr>
        <w:suppressAutoHyphens w:val="0"/>
        <w:spacing w:line="360" w:lineRule="auto"/>
        <w:jc w:val="center"/>
      </w:pPr>
      <w:r w:rsidRPr="0011529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4F518F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15293">
        <w:rPr>
          <w:rFonts w:ascii="Times New Roman" w:hAnsi="Times New Roman" w:cs="Times New Roman"/>
          <w:b/>
          <w:bCs/>
          <w:sz w:val="28"/>
          <w:szCs w:val="28"/>
        </w:rPr>
        <w:t>invention d</w:t>
      </w:r>
      <w:r w:rsidR="004F518F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15293">
        <w:rPr>
          <w:rFonts w:ascii="Times New Roman" w:hAnsi="Times New Roman" w:cs="Times New Roman"/>
          <w:b/>
          <w:bCs/>
          <w:sz w:val="28"/>
          <w:szCs w:val="28"/>
        </w:rPr>
        <w:t xml:space="preserve">origines grecques dans les cultures </w:t>
      </w:r>
    </w:p>
    <w:p w14:paraId="107D910E" w14:textId="3BB7F307" w:rsidR="00EF1F3E" w:rsidRPr="00115293" w:rsidRDefault="004C5E75">
      <w:pPr>
        <w:suppressAutoHyphens w:val="0"/>
        <w:spacing w:line="360" w:lineRule="auto"/>
        <w:ind w:right="-283"/>
        <w:jc w:val="center"/>
      </w:pPr>
      <w:proofErr w:type="gramStart"/>
      <w:r w:rsidRPr="00115293">
        <w:rPr>
          <w:rFonts w:ascii="Times New Roman" w:hAnsi="Times New Roman" w:cs="Times New Roman"/>
          <w:b/>
          <w:bCs/>
          <w:sz w:val="28"/>
          <w:szCs w:val="28"/>
        </w:rPr>
        <w:t>textuelles</w:t>
      </w:r>
      <w:proofErr w:type="gramEnd"/>
      <w:r w:rsidRPr="00115293">
        <w:rPr>
          <w:rFonts w:ascii="Times New Roman" w:hAnsi="Times New Roman" w:cs="Times New Roman"/>
          <w:b/>
          <w:bCs/>
          <w:sz w:val="28"/>
          <w:szCs w:val="28"/>
        </w:rPr>
        <w:t xml:space="preserve"> et visuelles de l</w:t>
      </w:r>
      <w:r w:rsidR="004F518F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115293">
        <w:rPr>
          <w:rFonts w:ascii="Times New Roman" w:hAnsi="Times New Roman" w:cs="Times New Roman"/>
          <w:b/>
          <w:bCs/>
          <w:sz w:val="28"/>
          <w:szCs w:val="28"/>
        </w:rPr>
        <w:t xml:space="preserve">Europe </w:t>
      </w:r>
      <w:proofErr w:type="spellStart"/>
      <w:r w:rsidRPr="00115293">
        <w:rPr>
          <w:rFonts w:ascii="Times New Roman" w:hAnsi="Times New Roman" w:cs="Times New Roman"/>
          <w:b/>
          <w:bCs/>
          <w:sz w:val="28"/>
          <w:szCs w:val="28"/>
        </w:rPr>
        <w:t>pré-moderne</w:t>
      </w:r>
      <w:proofErr w:type="spellEnd"/>
      <w:r w:rsidRPr="00115293">
        <w:rPr>
          <w:rFonts w:ascii="Times New Roman" w:hAnsi="Times New Roman" w:cs="Times New Roman"/>
          <w:b/>
          <w:bCs/>
          <w:sz w:val="28"/>
          <w:szCs w:val="28"/>
        </w:rPr>
        <w:t xml:space="preserve"> (1100-1600)</w:t>
      </w:r>
    </w:p>
    <w:p w14:paraId="3C3275F7" w14:textId="7A49E1ED" w:rsidR="00EF1F3E" w:rsidRDefault="00EF1F3E">
      <w:pPr>
        <w:suppressAutoHyphens w:val="0"/>
        <w:spacing w:line="360" w:lineRule="auto"/>
        <w:ind w:right="-283"/>
        <w:jc w:val="center"/>
        <w:rPr>
          <w:rFonts w:ascii="Times New Roman" w:hAnsi="Times New Roman"/>
          <w:b/>
          <w:bCs/>
          <w:smallCaps/>
        </w:rPr>
      </w:pPr>
    </w:p>
    <w:p w14:paraId="7F6D371B" w14:textId="36178378" w:rsidR="00115293" w:rsidRDefault="00115293">
      <w:pPr>
        <w:suppressAutoHyphens w:val="0"/>
        <w:spacing w:line="36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293">
        <w:rPr>
          <w:rFonts w:ascii="Times New Roman" w:hAnsi="Times New Roman" w:cs="Times New Roman"/>
          <w:b/>
          <w:bCs/>
          <w:sz w:val="28"/>
          <w:szCs w:val="28"/>
        </w:rPr>
        <w:t xml:space="preserve">Jeudi </w:t>
      </w:r>
      <w:r w:rsidR="004817DD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293">
        <w:rPr>
          <w:rFonts w:ascii="Times New Roman" w:hAnsi="Times New Roman" w:cs="Times New Roman"/>
          <w:b/>
          <w:bCs/>
          <w:sz w:val="28"/>
          <w:szCs w:val="28"/>
        </w:rPr>
        <w:t>juin et vendredi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7D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115293">
        <w:rPr>
          <w:rFonts w:ascii="Times New Roman" w:hAnsi="Times New Roman" w:cs="Times New Roman"/>
          <w:b/>
          <w:bCs/>
          <w:sz w:val="28"/>
          <w:szCs w:val="28"/>
        </w:rPr>
        <w:t xml:space="preserve"> juin 2023</w:t>
      </w:r>
    </w:p>
    <w:p w14:paraId="19CB339F" w14:textId="77777777" w:rsidR="004817DD" w:rsidRPr="00313B08" w:rsidRDefault="004817DD" w:rsidP="004817D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Espace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Baïetto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MESHS, Lille</w:t>
      </w:r>
    </w:p>
    <w:p w14:paraId="3F1B6A56" w14:textId="77777777" w:rsidR="004817DD" w:rsidRPr="00115293" w:rsidRDefault="004817DD">
      <w:pPr>
        <w:suppressAutoHyphens w:val="0"/>
        <w:spacing w:line="36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46130" w14:textId="77777777" w:rsidR="00EF1F3E" w:rsidRDefault="00EF1F3E">
      <w:pPr>
        <w:suppressAutoHyphens w:val="0"/>
        <w:spacing w:line="360" w:lineRule="auto"/>
        <w:rPr>
          <w:rFonts w:ascii="Times New Roman" w:hAnsi="Times New Roman" w:cs="Times New Roman"/>
        </w:rPr>
      </w:pPr>
    </w:p>
    <w:p w14:paraId="32717430" w14:textId="54FA9329" w:rsid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En 1176, Chrétien de Troyes exprime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idée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un héritage dont le berceau serait la Grèce, origine de la « chevalerie » et de la « clergie », dans le célèbre prologue du </w:t>
      </w:r>
      <w:proofErr w:type="spellStart"/>
      <w:r w:rsidRPr="00B8184C">
        <w:rPr>
          <w:rFonts w:ascii="Times New Roman" w:hAnsi="Times New Roman" w:cs="Times New Roman"/>
          <w:i/>
        </w:rPr>
        <w:t>Cligès</w:t>
      </w:r>
      <w:proofErr w:type="spellEnd"/>
      <w:r w:rsidRPr="004C5E75">
        <w:rPr>
          <w:rFonts w:ascii="Times New Roman" w:hAnsi="Times New Roman" w:cs="Times New Roman"/>
        </w:rPr>
        <w:t xml:space="preserve"> : « Ce nos ont </w:t>
      </w:r>
      <w:proofErr w:type="spellStart"/>
      <w:r w:rsidRPr="004C5E75">
        <w:rPr>
          <w:rFonts w:ascii="Times New Roman" w:hAnsi="Times New Roman" w:cs="Times New Roman"/>
        </w:rPr>
        <w:t>nostre</w:t>
      </w:r>
      <w:proofErr w:type="spellEnd"/>
      <w:r w:rsidRPr="004C5E75">
        <w:rPr>
          <w:rFonts w:ascii="Times New Roman" w:hAnsi="Times New Roman" w:cs="Times New Roman"/>
        </w:rPr>
        <w:t xml:space="preserve"> livre </w:t>
      </w:r>
      <w:proofErr w:type="spellStart"/>
      <w:r w:rsidRPr="004C5E75">
        <w:rPr>
          <w:rFonts w:ascii="Times New Roman" w:hAnsi="Times New Roman" w:cs="Times New Roman"/>
        </w:rPr>
        <w:t>apris</w:t>
      </w:r>
      <w:proofErr w:type="spellEnd"/>
      <w:r w:rsidRPr="004C5E75">
        <w:rPr>
          <w:rFonts w:ascii="Times New Roman" w:hAnsi="Times New Roman" w:cs="Times New Roman"/>
        </w:rPr>
        <w:t xml:space="preserve"> / qu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an </w:t>
      </w:r>
      <w:proofErr w:type="spellStart"/>
      <w:r w:rsidRPr="004C5E75">
        <w:rPr>
          <w:rFonts w:ascii="Times New Roman" w:hAnsi="Times New Roman" w:cs="Times New Roman"/>
        </w:rPr>
        <w:t>Grece</w:t>
      </w:r>
      <w:proofErr w:type="spellEnd"/>
      <w:r w:rsidRPr="004C5E75">
        <w:rPr>
          <w:rFonts w:ascii="Times New Roman" w:hAnsi="Times New Roman" w:cs="Times New Roman"/>
        </w:rPr>
        <w:t xml:space="preserve"> </w:t>
      </w:r>
      <w:proofErr w:type="spellStart"/>
      <w:r w:rsidRPr="004C5E75">
        <w:rPr>
          <w:rFonts w:ascii="Times New Roman" w:hAnsi="Times New Roman" w:cs="Times New Roman"/>
        </w:rPr>
        <w:t>ot</w:t>
      </w:r>
      <w:proofErr w:type="spellEnd"/>
      <w:r w:rsidRPr="004C5E75">
        <w:rPr>
          <w:rFonts w:ascii="Times New Roman" w:hAnsi="Times New Roman" w:cs="Times New Roman"/>
        </w:rPr>
        <w:t xml:space="preserve"> de chevalerie / le premier </w:t>
      </w:r>
      <w:proofErr w:type="spellStart"/>
      <w:r w:rsidRPr="004C5E75">
        <w:rPr>
          <w:rFonts w:ascii="Times New Roman" w:hAnsi="Times New Roman" w:cs="Times New Roman"/>
        </w:rPr>
        <w:t>los</w:t>
      </w:r>
      <w:proofErr w:type="spellEnd"/>
      <w:r w:rsidRPr="004C5E75">
        <w:rPr>
          <w:rFonts w:ascii="Times New Roman" w:hAnsi="Times New Roman" w:cs="Times New Roman"/>
        </w:rPr>
        <w:t xml:space="preserve"> et de clergie » (v. 28-30). Le but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un tel discours est de s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appuyer sur des origines pour créer une continuité à travers le recours à la </w:t>
      </w:r>
      <w:proofErr w:type="spellStart"/>
      <w:r w:rsidRPr="00B8184C">
        <w:rPr>
          <w:rFonts w:ascii="Times New Roman" w:hAnsi="Times New Roman" w:cs="Times New Roman"/>
          <w:i/>
        </w:rPr>
        <w:t>translatio</w:t>
      </w:r>
      <w:proofErr w:type="spellEnd"/>
      <w:r w:rsidRPr="00B8184C">
        <w:rPr>
          <w:rFonts w:ascii="Times New Roman" w:hAnsi="Times New Roman" w:cs="Times New Roman"/>
          <w:i/>
        </w:rPr>
        <w:t xml:space="preserve"> </w:t>
      </w:r>
      <w:proofErr w:type="spellStart"/>
      <w:r w:rsidRPr="00B8184C">
        <w:rPr>
          <w:rFonts w:ascii="Times New Roman" w:hAnsi="Times New Roman" w:cs="Times New Roman"/>
          <w:i/>
        </w:rPr>
        <w:t>imperii</w:t>
      </w:r>
      <w:proofErr w:type="spellEnd"/>
      <w:r w:rsidRPr="00B8184C">
        <w:rPr>
          <w:rFonts w:ascii="Times New Roman" w:hAnsi="Times New Roman" w:cs="Times New Roman"/>
          <w:i/>
        </w:rPr>
        <w:t xml:space="preserve"> et </w:t>
      </w:r>
      <w:proofErr w:type="spellStart"/>
      <w:r w:rsidRPr="00B8184C">
        <w:rPr>
          <w:rFonts w:ascii="Times New Roman" w:hAnsi="Times New Roman" w:cs="Times New Roman"/>
          <w:i/>
        </w:rPr>
        <w:t>studii</w:t>
      </w:r>
      <w:proofErr w:type="spellEnd"/>
      <w:r w:rsidRPr="004C5E75">
        <w:rPr>
          <w:rFonts w:ascii="Times New Roman" w:hAnsi="Times New Roman" w:cs="Times New Roman"/>
        </w:rPr>
        <w:t>, et ainsi légitimer et célébrer le pouvoir et le savoir contemporain à la lumière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un passé grec. Mais Chrétien de Troyes ne donne pas de contenu précis à ces origines grecques. De nombreux auteurs de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Europe </w:t>
      </w:r>
      <w:proofErr w:type="spellStart"/>
      <w:r w:rsidRPr="004C5E75">
        <w:rPr>
          <w:rFonts w:ascii="Times New Roman" w:hAnsi="Times New Roman" w:cs="Times New Roman"/>
        </w:rPr>
        <w:t>pré-moderne</w:t>
      </w:r>
      <w:proofErr w:type="spellEnd"/>
      <w:r w:rsidRPr="004C5E75">
        <w:rPr>
          <w:rFonts w:ascii="Times New Roman" w:hAnsi="Times New Roman" w:cs="Times New Roman"/>
        </w:rPr>
        <w:t xml:space="preserve"> s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attellent ensuite à leur représentation : </w:t>
      </w:r>
      <w:r w:rsidRPr="004C5E75">
        <w:rPr>
          <w:rFonts w:ascii="Times New Roman" w:hAnsi="Times New Roman" w:cs="Times New Roman"/>
        </w:rPr>
        <w:lastRenderedPageBreak/>
        <w:t>ils s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a</w:t>
      </w:r>
      <w:r w:rsidR="00B8184C">
        <w:rPr>
          <w:rFonts w:ascii="Times New Roman" w:hAnsi="Times New Roman" w:cs="Times New Roman"/>
        </w:rPr>
        <w:t>pproprient et/ou inventent</w:t>
      </w:r>
      <w:r w:rsidRPr="004C5E75">
        <w:rPr>
          <w:rFonts w:ascii="Times New Roman" w:hAnsi="Times New Roman" w:cs="Times New Roman"/>
        </w:rPr>
        <w:t xml:space="preserve"> des origines grecques, puisque ces dernières peuvent renvoyer à des données héritées et souvent réinterprétées</w:t>
      </w:r>
      <w:r w:rsidR="00B8184C">
        <w:rPr>
          <w:rFonts w:ascii="Times New Roman" w:hAnsi="Times New Roman" w:cs="Times New Roman"/>
        </w:rPr>
        <w:t>,</w:t>
      </w:r>
      <w:r w:rsidRPr="004C5E75">
        <w:rPr>
          <w:rFonts w:ascii="Times New Roman" w:hAnsi="Times New Roman" w:cs="Times New Roman"/>
        </w:rPr>
        <w:t xml:space="preserve"> ou bien être fantasmées. </w:t>
      </w:r>
    </w:p>
    <w:p w14:paraId="458311C1" w14:textId="14EDF70A" w:rsid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En effet, entre 1100 et 1600, dans les lettres et les arts, le passé grec a permis de créer différents types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origin</w:t>
      </w:r>
      <w:r w:rsidR="00B8184C">
        <w:rPr>
          <w:rFonts w:ascii="Times New Roman" w:hAnsi="Times New Roman" w:cs="Times New Roman"/>
        </w:rPr>
        <w:t>es. Un exemple</w:t>
      </w:r>
      <w:r w:rsidRPr="004C5E75">
        <w:rPr>
          <w:rFonts w:ascii="Times New Roman" w:hAnsi="Times New Roman" w:cs="Times New Roman"/>
        </w:rPr>
        <w:t xml:space="preserve"> est celui de </w:t>
      </w:r>
      <w:r w:rsidR="00B8184C">
        <w:rPr>
          <w:rFonts w:ascii="Times New Roman" w:hAnsi="Times New Roman" w:cs="Times New Roman"/>
        </w:rPr>
        <w:t>la figure d</w:t>
      </w:r>
      <w:r w:rsidR="004F518F">
        <w:rPr>
          <w:rFonts w:ascii="Times New Roman" w:hAnsi="Times New Roman" w:cs="Times New Roman"/>
        </w:rPr>
        <w:t>’</w:t>
      </w:r>
      <w:r w:rsidR="00B8184C">
        <w:rPr>
          <w:rFonts w:ascii="Times New Roman" w:hAnsi="Times New Roman" w:cs="Times New Roman"/>
        </w:rPr>
        <w:t>Hercule exploitée à travers une grande partie de l</w:t>
      </w:r>
      <w:r w:rsidR="004F518F">
        <w:rPr>
          <w:rFonts w:ascii="Times New Roman" w:hAnsi="Times New Roman" w:cs="Times New Roman"/>
        </w:rPr>
        <w:t>’</w:t>
      </w:r>
      <w:r w:rsidR="00B8184C">
        <w:rPr>
          <w:rFonts w:ascii="Times New Roman" w:hAnsi="Times New Roman" w:cs="Times New Roman"/>
        </w:rPr>
        <w:t>Europe occidentale</w:t>
      </w:r>
      <w:r w:rsidRPr="004C5E75">
        <w:rPr>
          <w:rFonts w:ascii="Times New Roman" w:hAnsi="Times New Roman" w:cs="Times New Roman"/>
        </w:rPr>
        <w:t>, dans les images comme dans les te</w:t>
      </w:r>
      <w:r w:rsidR="00B8184C">
        <w:rPr>
          <w:rFonts w:ascii="Times New Roman" w:hAnsi="Times New Roman" w:cs="Times New Roman"/>
        </w:rPr>
        <w:t xml:space="preserve">xtes, pour diverses visées politiques, </w:t>
      </w:r>
      <w:r w:rsidRPr="004C5E75">
        <w:rPr>
          <w:rFonts w:ascii="Times New Roman" w:hAnsi="Times New Roman" w:cs="Times New Roman"/>
        </w:rPr>
        <w:t>nationales et dynastiques</w:t>
      </w:r>
      <w:r w:rsidR="00B8184C">
        <w:rPr>
          <w:rFonts w:ascii="Times New Roman" w:hAnsi="Times New Roman" w:cs="Times New Roman"/>
        </w:rPr>
        <w:t>, sociales et culturelles</w:t>
      </w:r>
      <w:r w:rsidRPr="004C5E75">
        <w:rPr>
          <w:rFonts w:ascii="Times New Roman" w:hAnsi="Times New Roman" w:cs="Times New Roman"/>
        </w:rPr>
        <w:t>. Comme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a souligné Claude-Gilbert Dubois dans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introduction de son ouvrage, </w:t>
      </w:r>
      <w:r w:rsidRPr="00B8184C">
        <w:rPr>
          <w:rFonts w:ascii="Times New Roman" w:hAnsi="Times New Roman" w:cs="Times New Roman"/>
          <w:i/>
        </w:rPr>
        <w:t>Récits et mythes de fondation dans l</w:t>
      </w:r>
      <w:r w:rsidR="004F518F">
        <w:rPr>
          <w:rFonts w:ascii="Times New Roman" w:hAnsi="Times New Roman" w:cs="Times New Roman"/>
          <w:i/>
        </w:rPr>
        <w:t>’</w:t>
      </w:r>
      <w:r w:rsidRPr="00B8184C">
        <w:rPr>
          <w:rFonts w:ascii="Times New Roman" w:hAnsi="Times New Roman" w:cs="Times New Roman"/>
          <w:i/>
        </w:rPr>
        <w:t>imaginaire culturel occidental</w:t>
      </w:r>
      <w:r w:rsidRPr="004C5E75">
        <w:rPr>
          <w:rFonts w:ascii="Times New Roman" w:hAnsi="Times New Roman" w:cs="Times New Roman"/>
        </w:rPr>
        <w:t xml:space="preserve"> (Bordeaux, 2009), se tisse un réseau référentiel autour du triangle formé par le territoire, le personnage et la communauté qui recourent à une origine grecque. Des études sur les</w:t>
      </w:r>
      <w:r w:rsidRPr="00B8184C">
        <w:rPr>
          <w:rFonts w:ascii="Times New Roman" w:hAnsi="Times New Roman" w:cs="Times New Roman"/>
          <w:i/>
        </w:rPr>
        <w:t xml:space="preserve"> origines </w:t>
      </w:r>
      <w:proofErr w:type="spellStart"/>
      <w:r w:rsidRPr="00B8184C">
        <w:rPr>
          <w:rFonts w:ascii="Times New Roman" w:hAnsi="Times New Roman" w:cs="Times New Roman"/>
          <w:i/>
        </w:rPr>
        <w:t>gentium</w:t>
      </w:r>
      <w:proofErr w:type="spellEnd"/>
      <w:r w:rsidR="00B8184C" w:rsidRPr="00B8184C">
        <w:rPr>
          <w:rFonts w:ascii="Times New Roman" w:hAnsi="Times New Roman" w:cs="Times New Roman"/>
          <w:i/>
        </w:rPr>
        <w:t xml:space="preserve"> </w:t>
      </w:r>
      <w:r w:rsidR="00B8184C">
        <w:rPr>
          <w:rFonts w:ascii="Times New Roman" w:hAnsi="Times New Roman" w:cs="Times New Roman"/>
        </w:rPr>
        <w:t>dans le Haut Moyen Âge,</w:t>
      </w:r>
      <w:r w:rsidRPr="004C5E75">
        <w:rPr>
          <w:rFonts w:ascii="Times New Roman" w:hAnsi="Times New Roman" w:cs="Times New Roman"/>
        </w:rPr>
        <w:t xml:space="preserve"> notamment celles de </w:t>
      </w:r>
      <w:proofErr w:type="spellStart"/>
      <w:r w:rsidRPr="004C5E75">
        <w:rPr>
          <w:rFonts w:ascii="Times New Roman" w:hAnsi="Times New Roman" w:cs="Times New Roman"/>
        </w:rPr>
        <w:t>Alheydis</w:t>
      </w:r>
      <w:proofErr w:type="spellEnd"/>
      <w:r w:rsidRPr="004C5E75">
        <w:rPr>
          <w:rFonts w:ascii="Times New Roman" w:hAnsi="Times New Roman" w:cs="Times New Roman"/>
        </w:rPr>
        <w:t xml:space="preserve"> </w:t>
      </w:r>
      <w:proofErr w:type="spellStart"/>
      <w:r w:rsidRPr="004C5E75">
        <w:rPr>
          <w:rFonts w:ascii="Times New Roman" w:hAnsi="Times New Roman" w:cs="Times New Roman"/>
        </w:rPr>
        <w:t>Plassman</w:t>
      </w:r>
      <w:proofErr w:type="spellEnd"/>
      <w:r w:rsidRPr="004C5E75">
        <w:rPr>
          <w:rFonts w:ascii="Times New Roman" w:hAnsi="Times New Roman" w:cs="Times New Roman"/>
        </w:rPr>
        <w:t xml:space="preserve">, </w:t>
      </w:r>
      <w:proofErr w:type="spellStart"/>
      <w:r w:rsidRPr="00B8184C">
        <w:rPr>
          <w:rFonts w:ascii="Times New Roman" w:hAnsi="Times New Roman" w:cs="Times New Roman"/>
          <w:i/>
        </w:rPr>
        <w:t>Origo</w:t>
      </w:r>
      <w:proofErr w:type="spellEnd"/>
      <w:r w:rsidRPr="00B8184C">
        <w:rPr>
          <w:rFonts w:ascii="Times New Roman" w:hAnsi="Times New Roman" w:cs="Times New Roman"/>
          <w:i/>
        </w:rPr>
        <w:t xml:space="preserve"> </w:t>
      </w:r>
      <w:proofErr w:type="spellStart"/>
      <w:r w:rsidRPr="00B8184C">
        <w:rPr>
          <w:rFonts w:ascii="Times New Roman" w:hAnsi="Times New Roman" w:cs="Times New Roman"/>
          <w:i/>
        </w:rPr>
        <w:t>gentis</w:t>
      </w:r>
      <w:proofErr w:type="spellEnd"/>
      <w:r w:rsidRPr="00B8184C">
        <w:rPr>
          <w:rFonts w:ascii="Times New Roman" w:hAnsi="Times New Roman" w:cs="Times New Roman"/>
          <w:i/>
        </w:rPr>
        <w:t xml:space="preserve">. </w:t>
      </w:r>
      <w:proofErr w:type="spellStart"/>
      <w:r w:rsidRPr="00B8184C">
        <w:rPr>
          <w:rFonts w:ascii="Times New Roman" w:hAnsi="Times New Roman" w:cs="Times New Roman"/>
          <w:i/>
        </w:rPr>
        <w:t>Identitäts</w:t>
      </w:r>
      <w:proofErr w:type="spellEnd"/>
      <w:r w:rsidRPr="00B8184C">
        <w:rPr>
          <w:rFonts w:ascii="Times New Roman" w:hAnsi="Times New Roman" w:cs="Times New Roman"/>
          <w:i/>
        </w:rPr>
        <w:t xml:space="preserve">- </w:t>
      </w:r>
      <w:proofErr w:type="spellStart"/>
      <w:r w:rsidRPr="00B8184C">
        <w:rPr>
          <w:rFonts w:ascii="Times New Roman" w:hAnsi="Times New Roman" w:cs="Times New Roman"/>
          <w:i/>
        </w:rPr>
        <w:t>und</w:t>
      </w:r>
      <w:proofErr w:type="spellEnd"/>
      <w:r w:rsidRPr="00B8184C">
        <w:rPr>
          <w:rFonts w:ascii="Times New Roman" w:hAnsi="Times New Roman" w:cs="Times New Roman"/>
          <w:i/>
        </w:rPr>
        <w:t xml:space="preserve"> </w:t>
      </w:r>
      <w:proofErr w:type="spellStart"/>
      <w:r w:rsidRPr="00B8184C">
        <w:rPr>
          <w:rFonts w:ascii="Times New Roman" w:hAnsi="Times New Roman" w:cs="Times New Roman"/>
          <w:i/>
        </w:rPr>
        <w:t>Legitimitätsstiftung</w:t>
      </w:r>
      <w:proofErr w:type="spellEnd"/>
      <w:r w:rsidRPr="00B8184C">
        <w:rPr>
          <w:rFonts w:ascii="Times New Roman" w:hAnsi="Times New Roman" w:cs="Times New Roman"/>
          <w:i/>
        </w:rPr>
        <w:t xml:space="preserve"> in </w:t>
      </w:r>
      <w:proofErr w:type="spellStart"/>
      <w:r w:rsidRPr="00B8184C">
        <w:rPr>
          <w:rFonts w:ascii="Times New Roman" w:hAnsi="Times New Roman" w:cs="Times New Roman"/>
          <w:i/>
        </w:rPr>
        <w:t>früh</w:t>
      </w:r>
      <w:proofErr w:type="spellEnd"/>
      <w:r w:rsidRPr="00B8184C">
        <w:rPr>
          <w:rFonts w:ascii="Times New Roman" w:hAnsi="Times New Roman" w:cs="Times New Roman"/>
          <w:i/>
        </w:rPr>
        <w:t xml:space="preserve">- </w:t>
      </w:r>
      <w:proofErr w:type="spellStart"/>
      <w:r w:rsidRPr="00B8184C">
        <w:rPr>
          <w:rFonts w:ascii="Times New Roman" w:hAnsi="Times New Roman" w:cs="Times New Roman"/>
          <w:i/>
        </w:rPr>
        <w:t>und</w:t>
      </w:r>
      <w:proofErr w:type="spellEnd"/>
      <w:r w:rsidRPr="00B8184C">
        <w:rPr>
          <w:rFonts w:ascii="Times New Roman" w:hAnsi="Times New Roman" w:cs="Times New Roman"/>
          <w:i/>
        </w:rPr>
        <w:t xml:space="preserve"> </w:t>
      </w:r>
      <w:proofErr w:type="spellStart"/>
      <w:r w:rsidRPr="00B8184C">
        <w:rPr>
          <w:rFonts w:ascii="Times New Roman" w:hAnsi="Times New Roman" w:cs="Times New Roman"/>
          <w:i/>
        </w:rPr>
        <w:t>hochmittelalterlichen</w:t>
      </w:r>
      <w:proofErr w:type="spellEnd"/>
      <w:r w:rsidRPr="00B8184C">
        <w:rPr>
          <w:rFonts w:ascii="Times New Roman" w:hAnsi="Times New Roman" w:cs="Times New Roman"/>
          <w:i/>
        </w:rPr>
        <w:t xml:space="preserve"> </w:t>
      </w:r>
      <w:proofErr w:type="spellStart"/>
      <w:r w:rsidRPr="00B8184C">
        <w:rPr>
          <w:rFonts w:ascii="Times New Roman" w:hAnsi="Times New Roman" w:cs="Times New Roman"/>
          <w:i/>
        </w:rPr>
        <w:t>Herkunftserzählungen</w:t>
      </w:r>
      <w:proofErr w:type="spellEnd"/>
      <w:r w:rsidR="00F20409">
        <w:rPr>
          <w:rFonts w:ascii="Times New Roman" w:hAnsi="Times New Roman" w:cs="Times New Roman"/>
        </w:rPr>
        <w:t xml:space="preserve"> (</w:t>
      </w:r>
      <w:r w:rsidRPr="004C5E75">
        <w:rPr>
          <w:rFonts w:ascii="Times New Roman" w:hAnsi="Times New Roman" w:cs="Times New Roman"/>
        </w:rPr>
        <w:t>Berlin, 2006</w:t>
      </w:r>
      <w:r w:rsidR="00F20409">
        <w:rPr>
          <w:rFonts w:ascii="Times New Roman" w:hAnsi="Times New Roman" w:cs="Times New Roman"/>
        </w:rPr>
        <w:t>)</w:t>
      </w:r>
      <w:r w:rsidRPr="004C5E75">
        <w:rPr>
          <w:rFonts w:ascii="Times New Roman" w:hAnsi="Times New Roman" w:cs="Times New Roman"/>
        </w:rPr>
        <w:t xml:space="preserve"> et de Magali </w:t>
      </w:r>
      <w:proofErr w:type="spellStart"/>
      <w:r w:rsidRPr="004C5E75">
        <w:rPr>
          <w:rFonts w:ascii="Times New Roman" w:hAnsi="Times New Roman" w:cs="Times New Roman"/>
        </w:rPr>
        <w:t>Coumert</w:t>
      </w:r>
      <w:proofErr w:type="spellEnd"/>
      <w:r w:rsidRPr="004C5E75">
        <w:rPr>
          <w:rFonts w:ascii="Times New Roman" w:hAnsi="Times New Roman" w:cs="Times New Roman"/>
        </w:rPr>
        <w:t xml:space="preserve">, </w:t>
      </w:r>
      <w:r w:rsidRPr="00B8184C">
        <w:rPr>
          <w:rFonts w:ascii="Times New Roman" w:hAnsi="Times New Roman" w:cs="Times New Roman"/>
          <w:i/>
        </w:rPr>
        <w:t>Origines des peuples. Les récits du Haut Moyen Âge occidental (550-850)</w:t>
      </w:r>
      <w:r w:rsidR="00F20409">
        <w:rPr>
          <w:rFonts w:ascii="Times New Roman" w:hAnsi="Times New Roman" w:cs="Times New Roman"/>
        </w:rPr>
        <w:t xml:space="preserve"> (</w:t>
      </w:r>
      <w:r w:rsidR="00B8184C">
        <w:rPr>
          <w:rFonts w:ascii="Times New Roman" w:hAnsi="Times New Roman" w:cs="Times New Roman"/>
        </w:rPr>
        <w:t>Paris, 2007</w:t>
      </w:r>
      <w:r w:rsidR="00F20409">
        <w:rPr>
          <w:rFonts w:ascii="Times New Roman" w:hAnsi="Times New Roman" w:cs="Times New Roman"/>
        </w:rPr>
        <w:t>)</w:t>
      </w:r>
      <w:r w:rsidR="00B8184C">
        <w:rPr>
          <w:rFonts w:ascii="Times New Roman" w:hAnsi="Times New Roman" w:cs="Times New Roman"/>
        </w:rPr>
        <w:t xml:space="preserve">, </w:t>
      </w:r>
      <w:r w:rsidR="004F518F" w:rsidRPr="004C5E75">
        <w:rPr>
          <w:rFonts w:ascii="Times New Roman" w:hAnsi="Times New Roman" w:cs="Times New Roman"/>
        </w:rPr>
        <w:t>ont porté</w:t>
      </w:r>
      <w:r w:rsidRPr="004C5E75">
        <w:rPr>
          <w:rFonts w:ascii="Times New Roman" w:hAnsi="Times New Roman" w:cs="Times New Roman"/>
        </w:rPr>
        <w:t xml:space="preserve"> sur les liens entre écriture de récits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origines et création de sentiments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appartenance à une communauté.</w:t>
      </w:r>
    </w:p>
    <w:p w14:paraId="504CFB6B" w14:textId="6F55BA1F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Si les origines grecques contribuent souvent à</w:t>
      </w:r>
      <w:r w:rsidR="00B8184C">
        <w:rPr>
          <w:rFonts w:ascii="Times New Roman" w:hAnsi="Times New Roman" w:cs="Times New Roman"/>
        </w:rPr>
        <w:t xml:space="preserve"> une justification</w:t>
      </w:r>
      <w:r w:rsidRPr="004C5E75">
        <w:rPr>
          <w:rFonts w:ascii="Times New Roman" w:hAnsi="Times New Roman" w:cs="Times New Roman"/>
        </w:rPr>
        <w:t xml:space="preserve"> politique, elles peuvent aussi poursuivre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autres desseins, particulièrement dans les récits et les images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invention ou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instauration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une donnée cultu</w:t>
      </w:r>
      <w:r w:rsidR="00B8184C">
        <w:rPr>
          <w:rFonts w:ascii="Times New Roman" w:hAnsi="Times New Roman" w:cs="Times New Roman"/>
        </w:rPr>
        <w:t>relle, artistique, scientifique ou sociale, d</w:t>
      </w:r>
      <w:r w:rsidR="004F518F">
        <w:rPr>
          <w:rFonts w:ascii="Times New Roman" w:hAnsi="Times New Roman" w:cs="Times New Roman"/>
        </w:rPr>
        <w:t>’</w:t>
      </w:r>
      <w:r w:rsidR="00B8184C">
        <w:rPr>
          <w:rFonts w:ascii="Times New Roman" w:hAnsi="Times New Roman" w:cs="Times New Roman"/>
        </w:rPr>
        <w:t>une institution politique, juridique ou intellectuelle</w:t>
      </w:r>
      <w:r w:rsidRPr="004C5E75">
        <w:rPr>
          <w:rFonts w:ascii="Times New Roman" w:hAnsi="Times New Roman" w:cs="Times New Roman"/>
        </w:rPr>
        <w:t>. Pour donner quelques exemples, pensons à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origine des arts libéraux, de la peinture, de la fable, des universités, des académies… Des liens étroits existent ainsi entre origine(s) et héritage, et invitent à interroger la notion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origine / </w:t>
      </w:r>
      <w:r w:rsidR="00EA3D5B" w:rsidRPr="004C5E75">
        <w:rPr>
          <w:rFonts w:ascii="Times New Roman" w:hAnsi="Times New Roman" w:cs="Times New Roman"/>
        </w:rPr>
        <w:t>d</w:t>
      </w:r>
      <w:r w:rsidR="004F518F">
        <w:rPr>
          <w:rFonts w:ascii="Times New Roman" w:hAnsi="Times New Roman" w:cs="Times New Roman"/>
        </w:rPr>
        <w:t>’</w:t>
      </w:r>
      <w:r w:rsidR="00EA3D5B" w:rsidRPr="004C5E75">
        <w:rPr>
          <w:rFonts w:ascii="Times New Roman" w:hAnsi="Times New Roman" w:cs="Times New Roman"/>
        </w:rPr>
        <w:t>origines en</w:t>
      </w:r>
      <w:r w:rsidRPr="004C5E75">
        <w:rPr>
          <w:rFonts w:ascii="Times New Roman" w:hAnsi="Times New Roman" w:cs="Times New Roman"/>
        </w:rPr>
        <w:t xml:space="preserve"> la distinguant de celle, plus générale,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héritage, et en étudiant les sens qu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elle recouvre pour les auteurs et les artistes de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Europe </w:t>
      </w:r>
      <w:proofErr w:type="spellStart"/>
      <w:r w:rsidRPr="004C5E75">
        <w:rPr>
          <w:rFonts w:ascii="Times New Roman" w:hAnsi="Times New Roman" w:cs="Times New Roman"/>
        </w:rPr>
        <w:t>pré-moderne</w:t>
      </w:r>
      <w:proofErr w:type="spellEnd"/>
      <w:r w:rsidRPr="004C5E75">
        <w:rPr>
          <w:rFonts w:ascii="Times New Roman" w:hAnsi="Times New Roman" w:cs="Times New Roman"/>
        </w:rPr>
        <w:t>.</w:t>
      </w:r>
    </w:p>
    <w:p w14:paraId="34561DB3" w14:textId="77777777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ab/>
      </w:r>
    </w:p>
    <w:p w14:paraId="66BE3018" w14:textId="7A13ECA7" w:rsid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Ces journées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études envisagent ainsi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explorer les emplois, les fonctions et les finalités des discours sur les origines grecques et la polysémie de ce concept entre 1</w:t>
      </w:r>
      <w:r w:rsidR="00F642E2">
        <w:rPr>
          <w:rFonts w:ascii="Times New Roman" w:hAnsi="Times New Roman" w:cs="Times New Roman"/>
        </w:rPr>
        <w:t>1</w:t>
      </w:r>
      <w:r w:rsidRPr="004C5E75">
        <w:rPr>
          <w:rFonts w:ascii="Times New Roman" w:hAnsi="Times New Roman" w:cs="Times New Roman"/>
        </w:rPr>
        <w:t>00 à 1600, dans les cultures textuelles, visuelles et matérielles européennes, autour des questions suivantes : comment la notion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origine /d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origines est-elle alors pensée par les auteurs et les artistes ? Qu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est-ce qui à la fois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unit et la distingue de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héritage ? Pourquoi les Grecs ? Quelle(s) Grèce(s) sont pensées comme des origines ?  De qui et de quoi sont ces origines ? Quelles modalités de représentation et quels processus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appropriation apparaissent ? Dans quels buts et pour quels publics ?</w:t>
      </w:r>
    </w:p>
    <w:p w14:paraId="29480148" w14:textId="77777777" w:rsid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A65E499" w14:textId="2A2BCA90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Afin de cerner ces enjeux, les propositions pourront s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inscrire dans un ou plusieurs des axes suivants, qui n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épuisent pas le champ des possibles :</w:t>
      </w:r>
    </w:p>
    <w:p w14:paraId="41FF9953" w14:textId="57AB0F7F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lastRenderedPageBreak/>
        <w:t>- Formations identitaires et légitimation de formes de gouvernement et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institution : mythes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origines de peuples, de villes, de communautés, de dynasties,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organismes politiques, judiciaires, </w:t>
      </w:r>
      <w:r w:rsidR="00EA3D5B" w:rsidRPr="004C5E75">
        <w:rPr>
          <w:rFonts w:ascii="Times New Roman" w:hAnsi="Times New Roman" w:cs="Times New Roman"/>
        </w:rPr>
        <w:t>intellectuels,</w:t>
      </w:r>
      <w:r w:rsidRPr="004C5E75">
        <w:rPr>
          <w:rFonts w:ascii="Times New Roman" w:hAnsi="Times New Roman" w:cs="Times New Roman"/>
        </w:rPr>
        <w:t xml:space="preserve"> professionnels,</w:t>
      </w:r>
    </w:p>
    <w:p w14:paraId="05A9D388" w14:textId="47FE3C12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 xml:space="preserve"> - Les origines grecques dans les inventions artistiques, scientifiques</w:t>
      </w:r>
      <w:r w:rsidR="00115293">
        <w:rPr>
          <w:rFonts w:ascii="Times New Roman" w:hAnsi="Times New Roman" w:cs="Times New Roman"/>
        </w:rPr>
        <w:t xml:space="preserve"> et</w:t>
      </w:r>
      <w:r w:rsidRPr="004C5E75">
        <w:rPr>
          <w:rFonts w:ascii="Times New Roman" w:hAnsi="Times New Roman" w:cs="Times New Roman"/>
        </w:rPr>
        <w:t xml:space="preserve"> techniques</w:t>
      </w:r>
      <w:r w:rsidR="00115293">
        <w:rPr>
          <w:rFonts w:ascii="Times New Roman" w:hAnsi="Times New Roman" w:cs="Times New Roman"/>
        </w:rPr>
        <w:t>,</w:t>
      </w:r>
      <w:r w:rsidRPr="004C5E75">
        <w:rPr>
          <w:rFonts w:ascii="Times New Roman" w:hAnsi="Times New Roman" w:cs="Times New Roman"/>
        </w:rPr>
        <w:t xml:space="preserve"> les origines des langues et étymologies </w:t>
      </w:r>
      <w:r w:rsidR="00B8184C">
        <w:rPr>
          <w:rFonts w:ascii="Times New Roman" w:hAnsi="Times New Roman" w:cs="Times New Roman"/>
        </w:rPr>
        <w:t>grecques, les origines grecques de</w:t>
      </w:r>
      <w:r w:rsidRPr="004C5E75">
        <w:rPr>
          <w:rFonts w:ascii="Times New Roman" w:hAnsi="Times New Roman" w:cs="Times New Roman"/>
        </w:rPr>
        <w:t xml:space="preserve"> formes et </w:t>
      </w:r>
      <w:r w:rsidR="00B8184C">
        <w:rPr>
          <w:rFonts w:ascii="Times New Roman" w:hAnsi="Times New Roman" w:cs="Times New Roman"/>
        </w:rPr>
        <w:t xml:space="preserve">de </w:t>
      </w:r>
      <w:r w:rsidRPr="004C5E75">
        <w:rPr>
          <w:rFonts w:ascii="Times New Roman" w:hAnsi="Times New Roman" w:cs="Times New Roman"/>
        </w:rPr>
        <w:t>genres littéraires,</w:t>
      </w:r>
    </w:p>
    <w:p w14:paraId="5F24BBBB" w14:textId="77777777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 xml:space="preserve">- La </w:t>
      </w:r>
      <w:proofErr w:type="spellStart"/>
      <w:r w:rsidRPr="004C5E75">
        <w:rPr>
          <w:rFonts w:ascii="Times New Roman" w:hAnsi="Times New Roman" w:cs="Times New Roman"/>
          <w:i/>
        </w:rPr>
        <w:t>translatio</w:t>
      </w:r>
      <w:proofErr w:type="spellEnd"/>
      <w:r w:rsidRPr="004C5E75">
        <w:rPr>
          <w:rFonts w:ascii="Times New Roman" w:hAnsi="Times New Roman" w:cs="Times New Roman"/>
          <w:i/>
        </w:rPr>
        <w:t xml:space="preserve"> </w:t>
      </w:r>
      <w:proofErr w:type="spellStart"/>
      <w:r w:rsidRPr="004C5E75">
        <w:rPr>
          <w:rFonts w:ascii="Times New Roman" w:hAnsi="Times New Roman" w:cs="Times New Roman"/>
          <w:i/>
        </w:rPr>
        <w:t>imperii</w:t>
      </w:r>
      <w:proofErr w:type="spellEnd"/>
      <w:r w:rsidRPr="004C5E75">
        <w:rPr>
          <w:rFonts w:ascii="Times New Roman" w:hAnsi="Times New Roman" w:cs="Times New Roman"/>
          <w:i/>
        </w:rPr>
        <w:t xml:space="preserve"> </w:t>
      </w:r>
      <w:r w:rsidRPr="004F518F">
        <w:rPr>
          <w:rFonts w:ascii="Times New Roman" w:hAnsi="Times New Roman" w:cs="Times New Roman"/>
        </w:rPr>
        <w:t>et la</w:t>
      </w:r>
      <w:r w:rsidRPr="004C5E75">
        <w:rPr>
          <w:rFonts w:ascii="Times New Roman" w:hAnsi="Times New Roman" w:cs="Times New Roman"/>
          <w:i/>
        </w:rPr>
        <w:t xml:space="preserve"> </w:t>
      </w:r>
      <w:proofErr w:type="spellStart"/>
      <w:r w:rsidRPr="004C5E75">
        <w:rPr>
          <w:rFonts w:ascii="Times New Roman" w:hAnsi="Times New Roman" w:cs="Times New Roman"/>
          <w:i/>
        </w:rPr>
        <w:t>translatio</w:t>
      </w:r>
      <w:proofErr w:type="spellEnd"/>
      <w:r w:rsidRPr="004C5E75">
        <w:rPr>
          <w:rFonts w:ascii="Times New Roman" w:hAnsi="Times New Roman" w:cs="Times New Roman"/>
          <w:i/>
        </w:rPr>
        <w:t xml:space="preserve"> </w:t>
      </w:r>
      <w:proofErr w:type="spellStart"/>
      <w:r w:rsidRPr="004C5E75">
        <w:rPr>
          <w:rFonts w:ascii="Times New Roman" w:hAnsi="Times New Roman" w:cs="Times New Roman"/>
          <w:i/>
        </w:rPr>
        <w:t>studii</w:t>
      </w:r>
      <w:proofErr w:type="spellEnd"/>
      <w:r w:rsidRPr="004C5E75">
        <w:rPr>
          <w:rFonts w:ascii="Times New Roman" w:hAnsi="Times New Roman" w:cs="Times New Roman"/>
        </w:rPr>
        <w:t>, leur mise en scène et leurs interactions,</w:t>
      </w:r>
    </w:p>
    <w:p w14:paraId="1F42DF09" w14:textId="77777777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 xml:space="preserve">- Les représentations </w:t>
      </w:r>
      <w:r w:rsidR="00B8184C">
        <w:rPr>
          <w:rFonts w:ascii="Times New Roman" w:hAnsi="Times New Roman" w:cs="Times New Roman"/>
        </w:rPr>
        <w:t xml:space="preserve">visuelles </w:t>
      </w:r>
      <w:r w:rsidRPr="004C5E75">
        <w:rPr>
          <w:rFonts w:ascii="Times New Roman" w:hAnsi="Times New Roman" w:cs="Times New Roman"/>
        </w:rPr>
        <w:t>des origines, leurs commanditaires et leurs destinataires : peintures, sculptures, tapisseries, arts décoratifs, illustrations des manuscrits et imprimés, arts éphémères (tournois, fêtes, théâtre, processions, entrées royales et impériales…), héraldique,</w:t>
      </w:r>
    </w:p>
    <w:p w14:paraId="63731789" w14:textId="4BF22BD9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 xml:space="preserve">- Les relations et les oppositions entre processus de création ou récréation et actes </w:t>
      </w:r>
      <w:r w:rsidR="00EA3D5B" w:rsidRPr="004C5E75">
        <w:rPr>
          <w:rFonts w:ascii="Times New Roman" w:hAnsi="Times New Roman" w:cs="Times New Roman"/>
        </w:rPr>
        <w:t>archéologiques, à</w:t>
      </w:r>
      <w:r w:rsidRPr="004C5E75">
        <w:rPr>
          <w:rFonts w:ascii="Times New Roman" w:hAnsi="Times New Roman" w:cs="Times New Roman"/>
        </w:rPr>
        <w:t xml:space="preserve"> partir de témoignages matériels, traces écrites, inventions, imitations, « faux »</w:t>
      </w:r>
      <w:r w:rsidR="00115293">
        <w:rPr>
          <w:rFonts w:ascii="Times New Roman" w:hAnsi="Times New Roman" w:cs="Times New Roman"/>
        </w:rPr>
        <w:t>.</w:t>
      </w:r>
    </w:p>
    <w:p w14:paraId="515AD69C" w14:textId="77777777" w:rsidR="00EF1F3E" w:rsidRPr="004C5E75" w:rsidRDefault="00EF1F3E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4E7F178" w14:textId="6C945A96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Les propositions sont à adresser (titre et dix lignes de présentation accompagnés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un rapide CV</w:t>
      </w:r>
      <w:r w:rsidRPr="00B8184C">
        <w:rPr>
          <w:rFonts w:ascii="Times New Roman" w:hAnsi="Times New Roman" w:cs="Times New Roman"/>
          <w:b/>
        </w:rPr>
        <w:t xml:space="preserve">) avant le </w:t>
      </w:r>
      <w:r w:rsidR="00115293">
        <w:rPr>
          <w:rFonts w:ascii="Times New Roman" w:hAnsi="Times New Roman" w:cs="Times New Roman"/>
          <w:b/>
        </w:rPr>
        <w:t>1</w:t>
      </w:r>
      <w:r w:rsidRPr="00115293">
        <w:rPr>
          <w:rFonts w:ascii="Times New Roman" w:hAnsi="Times New Roman" w:cs="Times New Roman"/>
          <w:b/>
          <w:vertAlign w:val="superscript"/>
        </w:rPr>
        <w:t>er</w:t>
      </w:r>
      <w:r w:rsidRPr="00B8184C">
        <w:rPr>
          <w:rFonts w:ascii="Times New Roman" w:hAnsi="Times New Roman" w:cs="Times New Roman"/>
          <w:b/>
        </w:rPr>
        <w:t xml:space="preserve"> </w:t>
      </w:r>
      <w:r w:rsidR="00EA3D5B" w:rsidRPr="00B8184C">
        <w:rPr>
          <w:rFonts w:ascii="Times New Roman" w:hAnsi="Times New Roman" w:cs="Times New Roman"/>
          <w:b/>
        </w:rPr>
        <w:t>juin 2022</w:t>
      </w:r>
      <w:r w:rsidRPr="004C5E75">
        <w:rPr>
          <w:rFonts w:ascii="Times New Roman" w:hAnsi="Times New Roman" w:cs="Times New Roman"/>
        </w:rPr>
        <w:t xml:space="preserve"> à Catherine </w:t>
      </w:r>
      <w:proofErr w:type="spellStart"/>
      <w:r w:rsidRPr="004C5E75">
        <w:rPr>
          <w:rFonts w:ascii="Times New Roman" w:hAnsi="Times New Roman" w:cs="Times New Roman"/>
        </w:rPr>
        <w:t>Gaullier-Bougassas</w:t>
      </w:r>
      <w:proofErr w:type="spellEnd"/>
      <w:r w:rsidRPr="004C5E75">
        <w:rPr>
          <w:rFonts w:ascii="Times New Roman" w:hAnsi="Times New Roman" w:cs="Times New Roman"/>
        </w:rPr>
        <w:t xml:space="preserve"> à 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adresse suivante :</w:t>
      </w:r>
    </w:p>
    <w:p w14:paraId="7127576A" w14:textId="588EF0D7" w:rsidR="00EF1F3E" w:rsidRPr="004C5E75" w:rsidRDefault="00D400D0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hyperlink r:id="rId9">
        <w:r w:rsidR="004C5E75" w:rsidRPr="004C5E75">
          <w:rPr>
            <w:rFonts w:ascii="Times New Roman" w:hAnsi="Times New Roman" w:cs="Times New Roman"/>
          </w:rPr>
          <w:t>catherine.bougassas@univ-lille.fr</w:t>
        </w:r>
      </w:hyperlink>
      <w:bookmarkStart w:id="1" w:name="_GoBack"/>
      <w:bookmarkEnd w:id="1"/>
    </w:p>
    <w:p w14:paraId="0D518103" w14:textId="77FD84AB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>Les frais de déplacement et d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>hébergement seront pris en charge selon les modalités de l</w:t>
      </w:r>
      <w:r w:rsidR="004F518F">
        <w:rPr>
          <w:rFonts w:ascii="Times New Roman" w:hAnsi="Times New Roman" w:cs="Times New Roman"/>
        </w:rPr>
        <w:t>’</w:t>
      </w:r>
      <w:r w:rsidRPr="004C5E75">
        <w:rPr>
          <w:rFonts w:ascii="Times New Roman" w:hAnsi="Times New Roman" w:cs="Times New Roman"/>
        </w:rPr>
        <w:t xml:space="preserve">Université de Lille. </w:t>
      </w:r>
    </w:p>
    <w:p w14:paraId="0ACEFB2D" w14:textId="105C4629" w:rsidR="00EF1F3E" w:rsidRPr="004C5E75" w:rsidRDefault="004C5E75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5E75">
        <w:rPr>
          <w:rFonts w:ascii="Times New Roman" w:hAnsi="Times New Roman" w:cs="Times New Roman"/>
        </w:rPr>
        <w:t xml:space="preserve">Les articles issus des contributions seront publiés chez </w:t>
      </w:r>
      <w:proofErr w:type="spellStart"/>
      <w:r w:rsidRPr="004C5E75">
        <w:rPr>
          <w:rFonts w:ascii="Times New Roman" w:hAnsi="Times New Roman" w:cs="Times New Roman"/>
        </w:rPr>
        <w:t>Brepols</w:t>
      </w:r>
      <w:proofErr w:type="spellEnd"/>
      <w:r w:rsidRPr="004C5E75">
        <w:rPr>
          <w:rFonts w:ascii="Times New Roman" w:hAnsi="Times New Roman" w:cs="Times New Roman"/>
        </w:rPr>
        <w:t xml:space="preserve"> dans la collection « Recherches su</w:t>
      </w:r>
      <w:r>
        <w:rPr>
          <w:rFonts w:ascii="Times New Roman" w:hAnsi="Times New Roman" w:cs="Times New Roman"/>
        </w:rPr>
        <w:t>r les Réceptions de l</w:t>
      </w:r>
      <w:r w:rsidR="004F518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Antiquité </w:t>
      </w:r>
      <w:r w:rsidRPr="004C5E75">
        <w:rPr>
          <w:rFonts w:ascii="Times New Roman" w:hAnsi="Times New Roman" w:cs="Times New Roman"/>
        </w:rPr>
        <w:t xml:space="preserve">» : </w:t>
      </w:r>
      <w:hyperlink r:id="rId10">
        <w:r w:rsidRPr="004C5E75">
          <w:rPr>
            <w:rFonts w:ascii="Times New Roman" w:hAnsi="Times New Roman" w:cs="Times New Roman"/>
          </w:rPr>
          <w:t>http://www.brepols.net/Pages/BrowseBySeries.aspx?TreeSeries=RRA</w:t>
        </w:r>
      </w:hyperlink>
      <w:r w:rsidRPr="004C5E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8184C">
        <w:rPr>
          <w:rFonts w:ascii="Times New Roman" w:hAnsi="Times New Roman" w:cs="Times New Roman"/>
          <w:b/>
        </w:rPr>
        <w:t>Les articles seront à rendre pour le 30 septembre 2023</w:t>
      </w:r>
      <w:r w:rsidR="00B8184C">
        <w:rPr>
          <w:rFonts w:ascii="Times New Roman" w:hAnsi="Times New Roman" w:cs="Times New Roman"/>
        </w:rPr>
        <w:t>.</w:t>
      </w:r>
    </w:p>
    <w:p w14:paraId="5133495A" w14:textId="77777777" w:rsidR="00115293" w:rsidRPr="00115293" w:rsidRDefault="00115293" w:rsidP="00115293">
      <w:pPr>
        <w:suppressAutoHyphens w:val="0"/>
        <w:overflowPunct/>
        <w:ind w:firstLine="567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115293">
        <w:rPr>
          <w:rFonts w:ascii="Times New Roman" w:eastAsia="Times New Roman" w:hAnsi="Times New Roman" w:cs="Times New Roman"/>
          <w:kern w:val="0"/>
          <w:lang w:eastAsia="fr-FR" w:bidi="ar-SA"/>
        </w:rPr>
        <w:t xml:space="preserve">Présentation du projet : </w:t>
      </w:r>
      <w:hyperlink r:id="rId11" w:history="1">
        <w:r w:rsidRPr="0011529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 w:bidi="ar-SA"/>
          </w:rPr>
          <w:t>https://agrelita.hypotheses.org/</w:t>
        </w:r>
      </w:hyperlink>
    </w:p>
    <w:p w14:paraId="4186B1D5" w14:textId="77777777" w:rsidR="00EF1F3E" w:rsidRPr="004C5E75" w:rsidRDefault="00EF1F3E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76112F7" w14:textId="77777777" w:rsidR="00EF1F3E" w:rsidRPr="004C5E75" w:rsidRDefault="00EF1F3E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2217EBA" w14:textId="77777777" w:rsidR="00EF1F3E" w:rsidRPr="004C5E75" w:rsidRDefault="00EF1F3E" w:rsidP="004C5E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EF1F3E" w:rsidRPr="004C5E7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charset w:val="00"/>
    <w:family w:val="roman"/>
    <w:pitch w:val="default"/>
  </w:font>
  <w:font w:name="Noto Sans Devanagari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3E"/>
    <w:rsid w:val="00115293"/>
    <w:rsid w:val="003C6FE4"/>
    <w:rsid w:val="004817DD"/>
    <w:rsid w:val="004C5E75"/>
    <w:rsid w:val="004F518F"/>
    <w:rsid w:val="00B8184C"/>
    <w:rsid w:val="00D400D0"/>
    <w:rsid w:val="00EA3D5B"/>
    <w:rsid w:val="00EF1F3E"/>
    <w:rsid w:val="00F20409"/>
    <w:rsid w:val="00F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178B8"/>
  <w15:docId w15:val="{321A28BB-3E70-F14D-8CD6-6058BEA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ans SC Regular" w:hAnsi="Carlito" w:cs="Noto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next w:val="Corpsdetexte"/>
    <w:qFormat/>
    <w:pPr>
      <w:outlineLvl w:val="0"/>
    </w:pPr>
    <w:rPr>
      <w:rFonts w:eastAsia="DejaVu Sans" w:cs="DejaVu Sans"/>
      <w:b/>
      <w:bCs/>
      <w:sz w:val="48"/>
      <w:szCs w:val="48"/>
    </w:rPr>
  </w:style>
  <w:style w:type="paragraph" w:customStyle="1" w:styleId="Titre21">
    <w:name w:val="Titre 21"/>
    <w:basedOn w:val="Titre"/>
    <w:next w:val="Corpsdetexte"/>
    <w:qFormat/>
    <w:pPr>
      <w:spacing w:before="200"/>
      <w:outlineLvl w:val="1"/>
    </w:pPr>
    <w:rPr>
      <w:rFonts w:eastAsia="DejaVu Sans" w:cs="DejaVu Sans"/>
      <w:b/>
      <w:bCs/>
      <w:sz w:val="36"/>
      <w:szCs w:val="36"/>
    </w:rPr>
  </w:style>
  <w:style w:type="paragraph" w:customStyle="1" w:styleId="Titre31">
    <w:name w:val="Titre 31"/>
    <w:basedOn w:val="Titre"/>
    <w:next w:val="Corpsdetexte"/>
    <w:qFormat/>
    <w:pPr>
      <w:spacing w:before="140"/>
      <w:outlineLvl w:val="2"/>
    </w:pPr>
    <w:rPr>
      <w:rFonts w:eastAsia="DejaVu Sans" w:cs="DejaVu Sans"/>
      <w:b/>
      <w:bCs/>
    </w:rPr>
  </w:style>
  <w:style w:type="paragraph" w:customStyle="1" w:styleId="Titre41">
    <w:name w:val="Titre 41"/>
    <w:basedOn w:val="Titre"/>
    <w:next w:val="Corpsdetexte"/>
    <w:qFormat/>
    <w:pPr>
      <w:spacing w:before="120"/>
      <w:outlineLvl w:val="3"/>
    </w:pPr>
    <w:rPr>
      <w:rFonts w:eastAsia="DejaVu Sans" w:cs="DejaVu Sans"/>
      <w:b/>
      <w:bCs/>
      <w:sz w:val="24"/>
      <w:szCs w:val="24"/>
    </w:rPr>
  </w:style>
  <w:style w:type="character" w:customStyle="1" w:styleId="object">
    <w:name w:val="object"/>
    <w:basedOn w:val="Policepardfaut"/>
    <w:qFormat/>
    <w:rsid w:val="0025349D"/>
  </w:style>
  <w:style w:type="character" w:customStyle="1" w:styleId="LienInternet">
    <w:name w:val="Lien Internet"/>
    <w:basedOn w:val="Policepardfaut"/>
    <w:uiPriority w:val="99"/>
    <w:semiHidden/>
    <w:unhideWhenUsed/>
    <w:qFormat/>
    <w:rsid w:val="0025349D"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CollegamentoInternet">
    <w:name w:val="Collegamento Internet"/>
    <w:qFormat/>
    <w:rPr>
      <w:color w:val="000080"/>
      <w:u w:val="single"/>
      <w:lang w:val="uz-Cyrl-UZ" w:eastAsia="uz-Cyrl-UZ" w:bidi="uz-Cyrl-UZ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qFormat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 w:val="uz-Cyrl-UZ" w:eastAsia="uz-Cyrl-UZ" w:bidi="uz-Cyrl-UZ"/>
    </w:rPr>
  </w:style>
  <w:style w:type="paragraph" w:customStyle="1" w:styleId="Titolo">
    <w:name w:val="Titolo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customStyle="1" w:styleId="Indice">
    <w:name w:val="I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25349D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Notedebasdepage1">
    <w:name w:val="Note de bas de page1"/>
    <w:basedOn w:val="Normal"/>
    <w:pPr>
      <w:suppressLineNumbers/>
      <w:ind w:left="340" w:hanging="340"/>
    </w:pPr>
    <w:rPr>
      <w:sz w:val="20"/>
      <w:szCs w:val="20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TableauNormal1">
    <w:name w:val="Tableau Normal1"/>
    <w:qFormat/>
    <w:pPr>
      <w:overflowPunct w:val="0"/>
      <w:spacing w:after="160" w:line="252" w:lineRule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pPr>
      <w:spacing w:beforeAutospacing="1" w:after="142" w:line="276" w:lineRule="auto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115293"/>
    <w:pPr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11529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semiHidden/>
    <w:unhideWhenUsed/>
    <w:rsid w:val="00115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agrelita.hypotheses.org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brepols.net/Pages/BrowseBySeries.aspx?TreeSeries=RRA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atherine.bougassas@univ-lill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932</Words>
  <Characters>5126</Characters>
  <Application>Microsoft Office Word</Application>
  <DocSecurity>0</DocSecurity>
  <Lines>42</Lines>
  <Paragraphs>12</Paragraphs>
  <ScaleCrop>false</ScaleCrop>
  <Company>Université de Lille 3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Gaullier-Bougassas</dc:creator>
  <dc:description/>
  <cp:lastModifiedBy>Caroline Crepiat</cp:lastModifiedBy>
  <cp:revision>10</cp:revision>
  <cp:lastPrinted>2022-03-25T09:33:00Z</cp:lastPrinted>
  <dcterms:created xsi:type="dcterms:W3CDTF">2022-03-25T09:29:00Z</dcterms:created>
  <dcterms:modified xsi:type="dcterms:W3CDTF">2022-03-29T07:51:00Z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de Lille 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